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42743" w14:textId="410DC4CC" w:rsidR="008F66A7" w:rsidRPr="00AF1A5F" w:rsidRDefault="008F66A7" w:rsidP="00340C62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F1A5F">
        <w:rPr>
          <w:rFonts w:ascii="Arial" w:hAnsi="Arial" w:cs="Arial"/>
          <w:b/>
          <w:bCs/>
          <w:sz w:val="22"/>
          <w:szCs w:val="22"/>
        </w:rPr>
        <w:t>INSUMO CONTESTACIÓN ACCIÓN DE TUTELA RAD.2026-000</w:t>
      </w:r>
      <w:r w:rsidR="007C143B">
        <w:rPr>
          <w:rFonts w:ascii="Arial" w:hAnsi="Arial" w:cs="Arial"/>
          <w:b/>
          <w:bCs/>
          <w:sz w:val="22"/>
          <w:szCs w:val="22"/>
        </w:rPr>
        <w:t>99</w:t>
      </w:r>
      <w:r w:rsidRPr="00AF1A5F">
        <w:rPr>
          <w:rFonts w:ascii="Arial" w:hAnsi="Arial" w:cs="Arial"/>
          <w:b/>
          <w:bCs/>
          <w:sz w:val="22"/>
          <w:szCs w:val="22"/>
        </w:rPr>
        <w:t>.</w:t>
      </w:r>
    </w:p>
    <w:p w14:paraId="1408DC7E" w14:textId="77777777" w:rsidR="008F66A7" w:rsidRPr="00AF1A5F" w:rsidRDefault="008F66A7" w:rsidP="00340C62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AF1C06B" w14:textId="77777777" w:rsidR="00B70401" w:rsidRPr="00AF1A5F" w:rsidRDefault="00B70401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F1A5F">
        <w:rPr>
          <w:rFonts w:ascii="Arial" w:hAnsi="Arial" w:cs="Arial"/>
          <w:sz w:val="22"/>
          <w:szCs w:val="22"/>
        </w:rPr>
        <w:t xml:space="preserve">Respetados Dres, buenas tardes. </w:t>
      </w:r>
    </w:p>
    <w:p w14:paraId="46B03E9E" w14:textId="77777777" w:rsidR="008F66A7" w:rsidRPr="00AF1A5F" w:rsidRDefault="008F66A7" w:rsidP="00340C62">
      <w:pPr>
        <w:pStyle w:val="Standard"/>
        <w:suppressAutoHyphens w:val="0"/>
        <w:jc w:val="both"/>
        <w:rPr>
          <w:rFonts w:ascii="Arial" w:eastAsia="Verdana" w:hAnsi="Arial" w:cs="Arial"/>
          <w:b/>
          <w:sz w:val="22"/>
          <w:szCs w:val="22"/>
        </w:rPr>
      </w:pPr>
    </w:p>
    <w:p w14:paraId="5859EEDE" w14:textId="15C3A51F" w:rsidR="008F66A7" w:rsidRPr="00AF1A5F" w:rsidRDefault="008F66A7" w:rsidP="00340C62">
      <w:pPr>
        <w:widowControl w:val="0"/>
        <w:spacing w:after="0" w:line="240" w:lineRule="auto"/>
        <w:jc w:val="both"/>
        <w:rPr>
          <w:rFonts w:ascii="Arial" w:eastAsia="Verdana" w:hAnsi="Arial" w:cs="Arial"/>
          <w:sz w:val="22"/>
          <w:szCs w:val="22"/>
          <w:lang w:val="es-ES"/>
        </w:rPr>
      </w:pPr>
      <w:r w:rsidRPr="00AF1A5F">
        <w:rPr>
          <w:rFonts w:ascii="Arial" w:hAnsi="Arial" w:cs="Arial"/>
          <w:sz w:val="22"/>
          <w:szCs w:val="22"/>
        </w:rPr>
        <w:t>Procede el grupo de transporte de hidrocarburos y demás combustibles de la Dirección de Hidrocarburos a emitir pronunciamiento, en el marco de sus competencias, frente a los hechos y pretensiones descritos en la acción de tutela 2026-000</w:t>
      </w:r>
      <w:r w:rsidR="007C143B">
        <w:rPr>
          <w:rFonts w:ascii="Arial" w:hAnsi="Arial" w:cs="Arial"/>
          <w:sz w:val="22"/>
          <w:szCs w:val="22"/>
        </w:rPr>
        <w:t>99</w:t>
      </w:r>
      <w:r w:rsidRPr="00AF1A5F">
        <w:rPr>
          <w:rFonts w:ascii="Arial" w:hAnsi="Arial" w:cs="Arial"/>
          <w:sz w:val="22"/>
          <w:szCs w:val="22"/>
        </w:rPr>
        <w:t xml:space="preserve">, formulada por </w:t>
      </w:r>
      <w:r w:rsidR="00B966FE" w:rsidRPr="00B966FE">
        <w:rPr>
          <w:rFonts w:ascii="Arial" w:hAnsi="Arial" w:cs="Arial"/>
          <w:b/>
          <w:bCs/>
          <w:sz w:val="22"/>
          <w:szCs w:val="22"/>
        </w:rPr>
        <w:t>JAVIER ALBERTO CERCHAR INCIARTE Y OTROS</w:t>
      </w:r>
      <w:r w:rsidR="00340C6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AF1A5F">
        <w:rPr>
          <w:rFonts w:ascii="Arial" w:hAnsi="Arial" w:cs="Arial"/>
          <w:sz w:val="22"/>
          <w:szCs w:val="22"/>
        </w:rPr>
        <w:t>con el fin de que la OAJ consolide la contestación correspondiente</w:t>
      </w:r>
      <w:r w:rsidRPr="00AF1A5F">
        <w:rPr>
          <w:rFonts w:ascii="Arial" w:eastAsia="Verdana" w:hAnsi="Arial" w:cs="Arial"/>
          <w:sz w:val="22"/>
          <w:szCs w:val="22"/>
          <w:lang w:val="es-ES"/>
        </w:rPr>
        <w:t>.</w:t>
      </w:r>
    </w:p>
    <w:p w14:paraId="45DEB410" w14:textId="0ED78470" w:rsidR="008F66A7" w:rsidRPr="00AF1A5F" w:rsidRDefault="008F66A7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BAE9A37" w14:textId="77777777" w:rsidR="008F66A7" w:rsidRPr="00AF1A5F" w:rsidRDefault="008F66A7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F1A5F">
        <w:rPr>
          <w:rFonts w:ascii="Arial" w:hAnsi="Arial" w:cs="Arial"/>
          <w:sz w:val="22"/>
          <w:szCs w:val="22"/>
        </w:rPr>
        <w:t>Al respecto se procederá emitiendo pronunciamiento frente a los hechos y pretensiones indicadas en el escrito de tutela:</w:t>
      </w:r>
    </w:p>
    <w:p w14:paraId="445EDFA3" w14:textId="77777777" w:rsidR="008F66A7" w:rsidRPr="00AF1A5F" w:rsidRDefault="008F66A7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6B637C6" w14:textId="6E164748" w:rsidR="008F66A7" w:rsidRPr="00AF1A5F" w:rsidRDefault="008F66A7" w:rsidP="00340C62">
      <w:pPr>
        <w:pStyle w:val="Standard"/>
        <w:suppressAutoHyphens w:val="0"/>
        <w:jc w:val="center"/>
        <w:rPr>
          <w:rFonts w:ascii="Arial" w:eastAsia="Verdana" w:hAnsi="Arial" w:cs="Arial"/>
          <w:b/>
          <w:bCs/>
          <w:sz w:val="22"/>
          <w:szCs w:val="22"/>
        </w:rPr>
      </w:pPr>
      <w:r w:rsidRPr="00AF1A5F">
        <w:rPr>
          <w:rFonts w:ascii="Arial" w:eastAsia="Verdana" w:hAnsi="Arial" w:cs="Arial"/>
          <w:b/>
          <w:bCs/>
          <w:sz w:val="22"/>
          <w:szCs w:val="22"/>
        </w:rPr>
        <w:t>EN CUANTO A LOS HECHOS</w:t>
      </w:r>
      <w:r w:rsidR="00CB5AB6">
        <w:rPr>
          <w:rFonts w:ascii="Arial" w:eastAsia="Verdana" w:hAnsi="Arial" w:cs="Arial"/>
          <w:b/>
          <w:bCs/>
          <w:sz w:val="22"/>
          <w:szCs w:val="22"/>
        </w:rPr>
        <w:t xml:space="preserve"> y </w:t>
      </w:r>
      <w:r w:rsidR="00CB5AB6" w:rsidRPr="00AF1A5F">
        <w:rPr>
          <w:rFonts w:ascii="Arial" w:eastAsia="Verdana" w:hAnsi="Arial" w:cs="Arial"/>
          <w:b/>
          <w:bCs/>
          <w:sz w:val="22"/>
          <w:szCs w:val="22"/>
        </w:rPr>
        <w:t>A LAS PRETENSIONES</w:t>
      </w:r>
      <w:r w:rsidR="00CB5AB6">
        <w:rPr>
          <w:rFonts w:ascii="Arial" w:eastAsia="Verdana" w:hAnsi="Arial" w:cs="Arial"/>
          <w:b/>
          <w:bCs/>
          <w:sz w:val="22"/>
          <w:szCs w:val="22"/>
        </w:rPr>
        <w:t>.</w:t>
      </w:r>
    </w:p>
    <w:p w14:paraId="3B0F2354" w14:textId="77777777" w:rsidR="008F66A7" w:rsidRPr="00AF1A5F" w:rsidRDefault="008F66A7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012D3A8" w14:textId="7CFE3EF0" w:rsidR="00DD6E78" w:rsidRDefault="00F537AB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F1A5F">
        <w:rPr>
          <w:rFonts w:ascii="Arial" w:hAnsi="Arial" w:cs="Arial"/>
          <w:sz w:val="22"/>
          <w:szCs w:val="22"/>
        </w:rPr>
        <w:t xml:space="preserve">Se informa que </w:t>
      </w:r>
      <w:r w:rsidR="00DD6E78">
        <w:rPr>
          <w:rFonts w:ascii="Arial" w:hAnsi="Arial" w:cs="Arial"/>
          <w:sz w:val="22"/>
          <w:szCs w:val="22"/>
        </w:rPr>
        <w:t xml:space="preserve">no nos consta </w:t>
      </w:r>
      <w:r w:rsidR="005E146A">
        <w:rPr>
          <w:rFonts w:ascii="Arial" w:hAnsi="Arial" w:cs="Arial"/>
          <w:sz w:val="22"/>
          <w:szCs w:val="22"/>
        </w:rPr>
        <w:t>lo mencionado</w:t>
      </w:r>
      <w:r w:rsidR="00DD6E78">
        <w:rPr>
          <w:rFonts w:ascii="Arial" w:hAnsi="Arial" w:cs="Arial"/>
          <w:sz w:val="22"/>
          <w:szCs w:val="22"/>
        </w:rPr>
        <w:t xml:space="preserve"> en el apartado denominado hechos, puesto que no se acredita</w:t>
      </w:r>
      <w:r w:rsidR="00065A81">
        <w:rPr>
          <w:rFonts w:ascii="Arial" w:hAnsi="Arial" w:cs="Arial"/>
          <w:sz w:val="22"/>
          <w:szCs w:val="22"/>
        </w:rPr>
        <w:t xml:space="preserve"> ningún de aquellos</w:t>
      </w:r>
      <w:r w:rsidR="00DD6E78">
        <w:rPr>
          <w:rFonts w:ascii="Arial" w:hAnsi="Arial" w:cs="Arial"/>
          <w:sz w:val="22"/>
          <w:szCs w:val="22"/>
        </w:rPr>
        <w:t>, ni siquiera sumariamente</w:t>
      </w:r>
      <w:r w:rsidR="00065A81">
        <w:rPr>
          <w:rFonts w:ascii="Arial" w:hAnsi="Arial" w:cs="Arial"/>
          <w:sz w:val="22"/>
          <w:szCs w:val="22"/>
        </w:rPr>
        <w:t>.</w:t>
      </w:r>
      <w:r w:rsidR="00272F4D">
        <w:rPr>
          <w:rFonts w:ascii="Arial" w:hAnsi="Arial" w:cs="Arial"/>
          <w:sz w:val="22"/>
          <w:szCs w:val="22"/>
        </w:rPr>
        <w:t xml:space="preserve"> Y además no se precisa</w:t>
      </w:r>
      <w:r w:rsidR="00AA4452">
        <w:rPr>
          <w:rFonts w:ascii="Arial" w:hAnsi="Arial" w:cs="Arial"/>
          <w:sz w:val="22"/>
          <w:szCs w:val="22"/>
        </w:rPr>
        <w:t xml:space="preserve"> en el respectivo escrito la condición de </w:t>
      </w:r>
      <w:r w:rsidR="00AA4452">
        <w:rPr>
          <w:rFonts w:ascii="Arial" w:hAnsi="Arial" w:cs="Arial"/>
          <w:sz w:val="22"/>
          <w:szCs w:val="22"/>
        </w:rPr>
        <w:t xml:space="preserve">este Ministerio de Minas y </w:t>
      </w:r>
      <w:r w:rsidR="00AA4452">
        <w:rPr>
          <w:rFonts w:ascii="Arial" w:hAnsi="Arial" w:cs="Arial"/>
          <w:sz w:val="22"/>
          <w:szCs w:val="22"/>
        </w:rPr>
        <w:t xml:space="preserve">Energía como </w:t>
      </w:r>
      <w:r w:rsidR="00272F4D">
        <w:rPr>
          <w:rFonts w:ascii="Arial" w:hAnsi="Arial" w:cs="Arial"/>
          <w:sz w:val="22"/>
          <w:szCs w:val="22"/>
        </w:rPr>
        <w:t>sujeto legitima</w:t>
      </w:r>
      <w:r w:rsidR="00AA4452">
        <w:rPr>
          <w:rFonts w:ascii="Arial" w:hAnsi="Arial" w:cs="Arial"/>
          <w:sz w:val="22"/>
          <w:szCs w:val="22"/>
        </w:rPr>
        <w:t>do</w:t>
      </w:r>
      <w:r w:rsidR="00272F4D">
        <w:rPr>
          <w:rFonts w:ascii="Arial" w:hAnsi="Arial" w:cs="Arial"/>
          <w:sz w:val="22"/>
          <w:szCs w:val="22"/>
        </w:rPr>
        <w:t xml:space="preserve"> por pasiv</w:t>
      </w:r>
      <w:r w:rsidR="00AA4452">
        <w:rPr>
          <w:rFonts w:ascii="Arial" w:hAnsi="Arial" w:cs="Arial"/>
          <w:sz w:val="22"/>
          <w:szCs w:val="22"/>
        </w:rPr>
        <w:t>a</w:t>
      </w:r>
      <w:r w:rsidR="001F4A81">
        <w:rPr>
          <w:rFonts w:ascii="Arial" w:hAnsi="Arial" w:cs="Arial"/>
          <w:sz w:val="22"/>
          <w:szCs w:val="22"/>
        </w:rPr>
        <w:t xml:space="preserve"> dentro de la acción de tutela.</w:t>
      </w:r>
      <w:r w:rsidR="00272F4D">
        <w:rPr>
          <w:rFonts w:ascii="Arial" w:hAnsi="Arial" w:cs="Arial"/>
          <w:sz w:val="22"/>
          <w:szCs w:val="22"/>
        </w:rPr>
        <w:t xml:space="preserve"> </w:t>
      </w:r>
    </w:p>
    <w:p w14:paraId="1AB2B1D4" w14:textId="77777777" w:rsidR="005F4E74" w:rsidRDefault="005F4E74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36ACE72" w14:textId="07F0BC27" w:rsidR="00D24A63" w:rsidRDefault="005E146A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Además</w:t>
      </w:r>
      <w:r w:rsidR="001F4A81">
        <w:rPr>
          <w:rFonts w:ascii="Arial" w:hAnsi="Arial" w:cs="Arial"/>
          <w:sz w:val="22"/>
          <w:szCs w:val="22"/>
        </w:rPr>
        <w:t>, e</w:t>
      </w:r>
      <w:r w:rsidR="00D24A63" w:rsidRPr="00D24A63">
        <w:rPr>
          <w:rFonts w:ascii="Arial" w:hAnsi="Arial" w:cs="Arial"/>
          <w:sz w:val="22"/>
          <w:szCs w:val="22"/>
        </w:rPr>
        <w:t>l Ministerio de Minas y Energía carece de competencia legal para identificar comunidades étnicas, certificar presencia de grupos étnicos, determinar procedencia de consulta previa o adelantar procesos consultivos. Tales funciones corresponden exclusivamente al Ministerio del Interior, a través de la Dirección de la Autoridad Nacional de Consulta Previa.</w:t>
      </w:r>
    </w:p>
    <w:p w14:paraId="3E264588" w14:textId="77777777" w:rsidR="00D24A63" w:rsidRDefault="00D24A63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D13BA1A" w14:textId="77777777" w:rsidR="002E5554" w:rsidRDefault="001F4A81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1F4A81">
        <w:rPr>
          <w:rFonts w:ascii="Arial" w:hAnsi="Arial" w:cs="Arial"/>
          <w:sz w:val="22"/>
          <w:szCs w:val="22"/>
        </w:rPr>
        <w:t xml:space="preserve">Tampoco corresponde al Ministerio de Minas y Energía ejercer funciones de licenciamiento, seguimiento o control ambiental respecto del Gasoducto Ballenas – Barrancabermeja, competencias que actualmente se encuentran radicadas en la Autoridad Nacional de Licencias Ambientales – ANLA. El propio expediente aportado por los </w:t>
      </w:r>
      <w:r w:rsidRPr="001F4A81">
        <w:rPr>
          <w:rFonts w:ascii="Arial" w:hAnsi="Arial" w:cs="Arial"/>
          <w:sz w:val="22"/>
          <w:szCs w:val="22"/>
        </w:rPr>
        <w:t>accionantes evidencia</w:t>
      </w:r>
      <w:r>
        <w:rPr>
          <w:rFonts w:ascii="Arial" w:hAnsi="Arial" w:cs="Arial"/>
          <w:sz w:val="22"/>
          <w:szCs w:val="22"/>
        </w:rPr>
        <w:t xml:space="preserve"> </w:t>
      </w:r>
      <w:r w:rsidRPr="001F4A81">
        <w:rPr>
          <w:rFonts w:ascii="Arial" w:hAnsi="Arial" w:cs="Arial"/>
          <w:sz w:val="22"/>
          <w:szCs w:val="22"/>
        </w:rPr>
        <w:t>que la licencia ambiental fue otorgada por la autoridad ambiental competente y que el seguimiento y control del proyecto es ejercido por la ANLA.</w:t>
      </w:r>
      <w:r w:rsidR="003B079F">
        <w:rPr>
          <w:rFonts w:ascii="Arial" w:hAnsi="Arial" w:cs="Arial"/>
          <w:sz w:val="22"/>
          <w:szCs w:val="22"/>
        </w:rPr>
        <w:t xml:space="preserve"> </w:t>
      </w:r>
    </w:p>
    <w:p w14:paraId="1581A446" w14:textId="77777777" w:rsidR="002E5554" w:rsidRDefault="002E5554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D6A9DB7" w14:textId="53B77392" w:rsidR="007A32D5" w:rsidRDefault="00624069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0B14B6">
        <w:rPr>
          <w:rFonts w:ascii="Arial" w:hAnsi="Arial" w:cs="Arial"/>
          <w:sz w:val="22"/>
          <w:szCs w:val="22"/>
        </w:rPr>
        <w:t xml:space="preserve">Mucho menos, es del resorte </w:t>
      </w:r>
      <w:r w:rsidR="002E5554">
        <w:rPr>
          <w:rFonts w:ascii="Arial" w:hAnsi="Arial" w:cs="Arial"/>
          <w:sz w:val="22"/>
          <w:szCs w:val="22"/>
        </w:rPr>
        <w:t xml:space="preserve">especifico </w:t>
      </w:r>
      <w:r w:rsidRPr="000B14B6">
        <w:rPr>
          <w:rFonts w:ascii="Arial" w:hAnsi="Arial" w:cs="Arial"/>
          <w:sz w:val="22"/>
          <w:szCs w:val="22"/>
        </w:rPr>
        <w:t xml:space="preserve">de esta entidad </w:t>
      </w:r>
      <w:r w:rsidR="004F2D15">
        <w:rPr>
          <w:rFonts w:ascii="Arial" w:hAnsi="Arial" w:cs="Arial"/>
          <w:sz w:val="22"/>
          <w:szCs w:val="22"/>
        </w:rPr>
        <w:t>ejecutar</w:t>
      </w:r>
      <w:r w:rsidR="000B14B6">
        <w:rPr>
          <w:rFonts w:ascii="Arial" w:hAnsi="Arial" w:cs="Arial"/>
          <w:sz w:val="22"/>
          <w:szCs w:val="22"/>
        </w:rPr>
        <w:t xml:space="preserve"> el</w:t>
      </w:r>
      <w:r w:rsidR="003B079F">
        <w:rPr>
          <w:rFonts w:ascii="Arial" w:hAnsi="Arial" w:cs="Arial"/>
          <w:sz w:val="22"/>
          <w:szCs w:val="22"/>
        </w:rPr>
        <w:t xml:space="preserve"> </w:t>
      </w:r>
      <w:r w:rsidR="000B14B6">
        <w:rPr>
          <w:rFonts w:ascii="Arial" w:hAnsi="Arial" w:cs="Arial"/>
          <w:sz w:val="22"/>
          <w:szCs w:val="22"/>
        </w:rPr>
        <w:t xml:space="preserve">plan nacional de contingencias </w:t>
      </w:r>
      <w:r w:rsidR="003B079F">
        <w:rPr>
          <w:rFonts w:ascii="Arial" w:hAnsi="Arial" w:cs="Arial"/>
          <w:sz w:val="22"/>
          <w:szCs w:val="22"/>
        </w:rPr>
        <w:t>frente a perdidas de contención de hidrocarburos</w:t>
      </w:r>
      <w:r w:rsidR="009F2605">
        <w:rPr>
          <w:rFonts w:ascii="Arial" w:hAnsi="Arial" w:cs="Arial"/>
          <w:sz w:val="22"/>
          <w:szCs w:val="22"/>
        </w:rPr>
        <w:t>. A</w:t>
      </w:r>
      <w:r w:rsidR="00CD2D56">
        <w:rPr>
          <w:rFonts w:ascii="Arial" w:hAnsi="Arial" w:cs="Arial"/>
          <w:sz w:val="22"/>
          <w:szCs w:val="22"/>
        </w:rPr>
        <w:t>l respecto</w:t>
      </w:r>
      <w:r w:rsidR="009F2605">
        <w:rPr>
          <w:rFonts w:ascii="Arial" w:hAnsi="Arial" w:cs="Arial"/>
          <w:sz w:val="22"/>
          <w:szCs w:val="22"/>
        </w:rPr>
        <w:t>,</w:t>
      </w:r>
      <w:r w:rsidR="00CD2D56">
        <w:rPr>
          <w:rFonts w:ascii="Arial" w:hAnsi="Arial" w:cs="Arial"/>
          <w:sz w:val="22"/>
          <w:szCs w:val="22"/>
        </w:rPr>
        <w:t xml:space="preserve"> l</w:t>
      </w:r>
      <w:r w:rsidR="007A32D5">
        <w:rPr>
          <w:rFonts w:ascii="Arial" w:hAnsi="Arial" w:cs="Arial"/>
          <w:sz w:val="22"/>
          <w:szCs w:val="22"/>
        </w:rPr>
        <w:t xml:space="preserve">a </w:t>
      </w:r>
      <w:r w:rsidR="00CD2D56">
        <w:rPr>
          <w:rFonts w:ascii="Arial" w:hAnsi="Arial" w:cs="Arial"/>
          <w:sz w:val="22"/>
          <w:szCs w:val="22"/>
        </w:rPr>
        <w:t>Resolución</w:t>
      </w:r>
      <w:r w:rsidR="007A32D5">
        <w:rPr>
          <w:rFonts w:ascii="Arial" w:hAnsi="Arial" w:cs="Arial"/>
          <w:sz w:val="22"/>
          <w:szCs w:val="22"/>
        </w:rPr>
        <w:t xml:space="preserve"> </w:t>
      </w:r>
      <w:r w:rsidR="00CD2D56">
        <w:rPr>
          <w:rFonts w:ascii="Arial" w:hAnsi="Arial" w:cs="Arial"/>
          <w:sz w:val="22"/>
          <w:szCs w:val="22"/>
        </w:rPr>
        <w:t>1868 del 2021,</w:t>
      </w:r>
      <w:r w:rsidR="00D24E44">
        <w:rPr>
          <w:rFonts w:ascii="Arial" w:hAnsi="Arial" w:cs="Arial"/>
          <w:sz w:val="22"/>
          <w:szCs w:val="22"/>
        </w:rPr>
        <w:t xml:space="preserve"> </w:t>
      </w:r>
      <w:r w:rsidR="002F1596">
        <w:rPr>
          <w:rFonts w:ascii="Arial" w:hAnsi="Arial" w:cs="Arial"/>
          <w:sz w:val="22"/>
          <w:szCs w:val="22"/>
        </w:rPr>
        <w:t xml:space="preserve">solo nos </w:t>
      </w:r>
      <w:r w:rsidR="00D24E44">
        <w:rPr>
          <w:rFonts w:ascii="Arial" w:hAnsi="Arial" w:cs="Arial"/>
          <w:sz w:val="22"/>
          <w:szCs w:val="22"/>
        </w:rPr>
        <w:t>asignó como función e</w:t>
      </w:r>
      <w:r w:rsidR="007A32D5" w:rsidRPr="007A32D5">
        <w:rPr>
          <w:rFonts w:ascii="Arial" w:hAnsi="Arial" w:cs="Arial"/>
          <w:sz w:val="22"/>
          <w:szCs w:val="22"/>
        </w:rPr>
        <w:t>stablecer los lineamientos de política</w:t>
      </w:r>
      <w:r w:rsidR="00D24E44">
        <w:rPr>
          <w:rFonts w:ascii="Arial" w:hAnsi="Arial" w:cs="Arial"/>
          <w:sz w:val="22"/>
          <w:szCs w:val="22"/>
        </w:rPr>
        <w:t xml:space="preserve"> </w:t>
      </w:r>
      <w:r w:rsidR="007A32D5" w:rsidRPr="007A32D5">
        <w:rPr>
          <w:rFonts w:ascii="Arial" w:hAnsi="Arial" w:cs="Arial"/>
          <w:sz w:val="22"/>
          <w:szCs w:val="22"/>
        </w:rPr>
        <w:t>enfocados a la prevención, el control y la gestión del riesgo de desastres por</w:t>
      </w:r>
      <w:r w:rsidR="00D24E44">
        <w:rPr>
          <w:rFonts w:ascii="Arial" w:hAnsi="Arial" w:cs="Arial"/>
          <w:sz w:val="22"/>
          <w:szCs w:val="22"/>
        </w:rPr>
        <w:t xml:space="preserve"> </w:t>
      </w:r>
      <w:r w:rsidR="007A32D5" w:rsidRPr="007A32D5">
        <w:rPr>
          <w:rFonts w:ascii="Arial" w:hAnsi="Arial" w:cs="Arial"/>
          <w:sz w:val="22"/>
          <w:szCs w:val="22"/>
        </w:rPr>
        <w:t>parte de los sectores público y privado nacional, frente al riesgo por pérdidas</w:t>
      </w:r>
      <w:r w:rsidR="00D24E44">
        <w:rPr>
          <w:rFonts w:ascii="Arial" w:hAnsi="Arial" w:cs="Arial"/>
          <w:sz w:val="22"/>
          <w:szCs w:val="22"/>
        </w:rPr>
        <w:t xml:space="preserve"> </w:t>
      </w:r>
      <w:r w:rsidR="007A32D5" w:rsidRPr="007A32D5">
        <w:rPr>
          <w:rFonts w:ascii="Arial" w:hAnsi="Arial" w:cs="Arial"/>
          <w:sz w:val="22"/>
          <w:szCs w:val="22"/>
        </w:rPr>
        <w:t>de contención de sustancias peligrosas en el territorio nacional</w:t>
      </w:r>
      <w:r w:rsidR="009F2605">
        <w:rPr>
          <w:rFonts w:ascii="Arial" w:hAnsi="Arial" w:cs="Arial"/>
          <w:sz w:val="22"/>
          <w:szCs w:val="22"/>
        </w:rPr>
        <w:t>, más no la</w:t>
      </w:r>
      <w:r w:rsidR="002F1596">
        <w:rPr>
          <w:rFonts w:ascii="Arial" w:hAnsi="Arial" w:cs="Arial"/>
          <w:sz w:val="22"/>
          <w:szCs w:val="22"/>
        </w:rPr>
        <w:t>s</w:t>
      </w:r>
      <w:r w:rsidR="009F2605">
        <w:rPr>
          <w:rFonts w:ascii="Arial" w:hAnsi="Arial" w:cs="Arial"/>
          <w:sz w:val="22"/>
          <w:szCs w:val="22"/>
        </w:rPr>
        <w:t xml:space="preserve"> </w:t>
      </w:r>
      <w:r w:rsidR="00C538BB">
        <w:rPr>
          <w:rFonts w:ascii="Arial" w:hAnsi="Arial" w:cs="Arial"/>
          <w:sz w:val="22"/>
          <w:szCs w:val="22"/>
        </w:rPr>
        <w:t>gestiones</w:t>
      </w:r>
      <w:r w:rsidR="009F2605">
        <w:rPr>
          <w:rFonts w:ascii="Arial" w:hAnsi="Arial" w:cs="Arial"/>
          <w:sz w:val="22"/>
          <w:szCs w:val="22"/>
        </w:rPr>
        <w:t xml:space="preserve"> </w:t>
      </w:r>
      <w:r w:rsidR="002F1596">
        <w:rPr>
          <w:rFonts w:ascii="Arial" w:hAnsi="Arial" w:cs="Arial"/>
          <w:sz w:val="22"/>
          <w:szCs w:val="22"/>
        </w:rPr>
        <w:t>propias</w:t>
      </w:r>
      <w:r w:rsidR="00C538BB">
        <w:rPr>
          <w:rFonts w:ascii="Arial" w:hAnsi="Arial" w:cs="Arial"/>
          <w:sz w:val="22"/>
          <w:szCs w:val="22"/>
        </w:rPr>
        <w:t xml:space="preserve"> relacionadas con la contención</w:t>
      </w:r>
      <w:r w:rsidR="009F2605">
        <w:rPr>
          <w:rFonts w:ascii="Arial" w:hAnsi="Arial" w:cs="Arial"/>
          <w:sz w:val="22"/>
          <w:szCs w:val="22"/>
        </w:rPr>
        <w:t>.</w:t>
      </w:r>
    </w:p>
    <w:p w14:paraId="2EAB244A" w14:textId="77777777" w:rsidR="00624069" w:rsidRDefault="00624069" w:rsidP="00340C62">
      <w:pPr>
        <w:pStyle w:val="Standard"/>
        <w:suppressAutoHyphens w:val="0"/>
        <w:jc w:val="both"/>
        <w:rPr>
          <w:rFonts w:ascii="Arial" w:eastAsia="Verdana" w:hAnsi="Arial" w:cs="Arial"/>
          <w:b/>
          <w:bCs/>
          <w:sz w:val="22"/>
          <w:szCs w:val="22"/>
        </w:rPr>
      </w:pPr>
    </w:p>
    <w:p w14:paraId="0A707E39" w14:textId="4B416F6E" w:rsidR="00A42950" w:rsidRDefault="00B35EE8" w:rsidP="00340C62">
      <w:pPr>
        <w:pStyle w:val="Standard"/>
        <w:suppressAutoHyphens w:val="0"/>
        <w:jc w:val="both"/>
        <w:rPr>
          <w:rFonts w:ascii="Arial" w:eastAsia="Verdana" w:hAnsi="Arial" w:cs="Arial"/>
          <w:sz w:val="22"/>
          <w:szCs w:val="22"/>
        </w:rPr>
      </w:pPr>
      <w:r>
        <w:rPr>
          <w:rFonts w:ascii="Arial" w:eastAsia="Verdana" w:hAnsi="Arial" w:cs="Arial"/>
          <w:sz w:val="22"/>
          <w:szCs w:val="22"/>
        </w:rPr>
        <w:t>En cuanto a l</w:t>
      </w:r>
      <w:r w:rsidRPr="00B35EE8">
        <w:rPr>
          <w:rFonts w:ascii="Arial" w:eastAsia="Verdana" w:hAnsi="Arial" w:cs="Arial"/>
          <w:sz w:val="22"/>
          <w:szCs w:val="22"/>
        </w:rPr>
        <w:t>a consulta previa</w:t>
      </w:r>
      <w:r>
        <w:rPr>
          <w:rFonts w:ascii="Arial" w:eastAsia="Verdana" w:hAnsi="Arial" w:cs="Arial"/>
          <w:sz w:val="22"/>
          <w:szCs w:val="22"/>
        </w:rPr>
        <w:t xml:space="preserve">, es necesario precisar que se trata de </w:t>
      </w:r>
      <w:r w:rsidRPr="00B35EE8">
        <w:rPr>
          <w:rFonts w:ascii="Arial" w:eastAsia="Verdana" w:hAnsi="Arial" w:cs="Arial"/>
          <w:sz w:val="22"/>
          <w:szCs w:val="22"/>
        </w:rPr>
        <w:t>un mecanismo de participación que, por su propia naturaleza, debe surtirse antes de la adopción de la medida administrativa o de la ejecución del proyecto susceptible de afectar directamente a comunidades étnicas</w:t>
      </w:r>
      <w:r w:rsidR="00C538BB">
        <w:rPr>
          <w:rFonts w:ascii="Arial" w:eastAsia="Verdana" w:hAnsi="Arial" w:cs="Arial"/>
          <w:sz w:val="22"/>
          <w:szCs w:val="22"/>
        </w:rPr>
        <w:t>. E</w:t>
      </w:r>
      <w:r w:rsidR="00A42950" w:rsidRPr="00A42950">
        <w:rPr>
          <w:rFonts w:ascii="Arial" w:eastAsia="Verdana" w:hAnsi="Arial" w:cs="Arial"/>
          <w:sz w:val="22"/>
          <w:szCs w:val="22"/>
        </w:rPr>
        <w:t>n consecuencia, no resulta jurídicamente viable pretender, mediante acción de tutela, la realización de una consulta previa respecto de una infraestructura cuya licencia ambiental fue expedida en 1994 y que ha permanecido en operación durante más de tres décadas, pues ello implicaría desconocer la finalidad preventiva de dicho derecho y convertirlo en un mecanismo para cuestionar actuaciones administrativas consolidadas y ejecutadas desde hace varios años.</w:t>
      </w:r>
    </w:p>
    <w:p w14:paraId="2913E4A3" w14:textId="141BFF81" w:rsidR="003812F2" w:rsidRDefault="003812F2" w:rsidP="00340C62">
      <w:pPr>
        <w:pStyle w:val="Standard"/>
        <w:suppressAutoHyphens w:val="0"/>
        <w:jc w:val="both"/>
        <w:rPr>
          <w:rFonts w:ascii="Arial" w:eastAsia="Verdana" w:hAnsi="Arial" w:cs="Arial"/>
          <w:sz w:val="22"/>
          <w:szCs w:val="22"/>
        </w:rPr>
      </w:pPr>
      <w:r w:rsidRPr="003812F2">
        <w:rPr>
          <w:rFonts w:ascii="Arial" w:eastAsia="Verdana" w:hAnsi="Arial" w:cs="Arial"/>
          <w:sz w:val="22"/>
          <w:szCs w:val="22"/>
        </w:rPr>
        <w:t xml:space="preserve">Aceptar que la consulta previa puede exigirse respecto de proyectos plenamente </w:t>
      </w:r>
      <w:r w:rsidRPr="003812F2">
        <w:rPr>
          <w:rFonts w:ascii="Arial" w:eastAsia="Verdana" w:hAnsi="Arial" w:cs="Arial"/>
          <w:sz w:val="22"/>
          <w:szCs w:val="22"/>
        </w:rPr>
        <w:lastRenderedPageBreak/>
        <w:t>construidos y operativos desde hace más de treinta años conduciría a una situación de incertidumbre jurídica permanente sobre infraestructuras estratégicas del país, desconociendo los principios de seguridad jurídica, confianza legítima y estabilidad de las decisiones administrativas ejecutoriadas</w:t>
      </w:r>
      <w:r w:rsidR="00B401A6">
        <w:rPr>
          <w:rFonts w:ascii="Arial" w:eastAsia="Verdana" w:hAnsi="Arial" w:cs="Arial"/>
          <w:sz w:val="22"/>
          <w:szCs w:val="22"/>
        </w:rPr>
        <w:t>, salvo eventuales modificaciones so</w:t>
      </w:r>
      <w:r w:rsidR="00B20E72">
        <w:rPr>
          <w:rFonts w:ascii="Arial" w:eastAsia="Verdana" w:hAnsi="Arial" w:cs="Arial"/>
          <w:sz w:val="22"/>
          <w:szCs w:val="22"/>
        </w:rPr>
        <w:t>bre aquella</w:t>
      </w:r>
      <w:r w:rsidR="00B401A6">
        <w:rPr>
          <w:rFonts w:ascii="Arial" w:eastAsia="Verdana" w:hAnsi="Arial" w:cs="Arial"/>
          <w:sz w:val="22"/>
          <w:szCs w:val="22"/>
        </w:rPr>
        <w:t xml:space="preserve"> infraestructura. </w:t>
      </w:r>
    </w:p>
    <w:p w14:paraId="0C7FC0E4" w14:textId="77777777" w:rsidR="00051F4D" w:rsidRDefault="00051F4D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93BFE78" w14:textId="5BF1E64F" w:rsidR="00695B7B" w:rsidRDefault="00695B7B" w:rsidP="00340C62">
      <w:pPr>
        <w:widowControl w:val="0"/>
        <w:spacing w:after="0" w:line="240" w:lineRule="auto"/>
        <w:jc w:val="both"/>
      </w:pPr>
      <w:r w:rsidRPr="00EB5DFA">
        <w:t xml:space="preserve">En relación con las pretensiones formuladas, se </w:t>
      </w:r>
      <w:r w:rsidR="00C538BB">
        <w:t>reitera</w:t>
      </w:r>
      <w:r w:rsidRPr="00EB5DFA">
        <w:t xml:space="preserve"> que la Dirección de Hidrocarburos del Ministerio de Minas y Energía no ostenta competencias en materia de consulta previa, identificación de comunidades étnicas, licenciamiento ambiental o seguimiento de obligaciones derivadas de licencias ambientales</w:t>
      </w:r>
      <w:r w:rsidR="00C538BB">
        <w:t xml:space="preserve">. Ni en materia de adelantar gestiones asociadas a </w:t>
      </w:r>
      <w:r w:rsidR="00FC7198">
        <w:t>la</w:t>
      </w:r>
      <w:r w:rsidR="00C538BB">
        <w:t xml:space="preserve"> </w:t>
      </w:r>
      <w:r w:rsidR="008C1B18">
        <w:t>contención</w:t>
      </w:r>
      <w:r w:rsidR="00FC7198">
        <w:t xml:space="preserve"> de vertimientos</w:t>
      </w:r>
      <w:r w:rsidR="008C1B18">
        <w:t>.</w:t>
      </w:r>
      <w:r w:rsidRPr="00EB5DFA">
        <w:t xml:space="preserve"> Conforme al marco legal vigente, dichas funciones corresponden, según el caso, al Ministerio del Interior, a través de la Dirección de la Autoridad Nacional de Consulta Previa, y a la Autoridad Nacional de Licencias Ambientales – ANLA</w:t>
      </w:r>
      <w:r w:rsidR="00FC7198">
        <w:t xml:space="preserve"> y Unidad Nacional de Gestión de Riesgos de Desastres</w:t>
      </w:r>
      <w:r w:rsidRPr="00EB5DFA">
        <w:t>. En consecuencia, esta Dirección carece de competencia funcional para adoptar las decisiones solicitadas por los accionantes respecto de la realización de procesos de consulta previa</w:t>
      </w:r>
      <w:r w:rsidR="00176B07">
        <w:t xml:space="preserve">, </w:t>
      </w:r>
      <w:r w:rsidRPr="00EB5DFA">
        <w:t>de la evaluación de impactos ambientales asociados al Gasoducto Ballenas – Barrancabermeja</w:t>
      </w:r>
      <w:r w:rsidR="00176B07">
        <w:t xml:space="preserve"> y de la contención de vertimientos.</w:t>
      </w:r>
    </w:p>
    <w:p w14:paraId="7B7E2736" w14:textId="77777777" w:rsidR="00AF1A5F" w:rsidRDefault="00AF1A5F" w:rsidP="00340C62">
      <w:pPr>
        <w:widowControl w:val="0"/>
        <w:spacing w:after="0" w:line="240" w:lineRule="auto"/>
        <w:jc w:val="both"/>
      </w:pPr>
    </w:p>
    <w:p w14:paraId="6592D8AC" w14:textId="2432B541" w:rsidR="000D76F2" w:rsidRDefault="00340C62" w:rsidP="00340C62">
      <w:pPr>
        <w:widowControl w:val="0"/>
        <w:spacing w:after="0" w:line="240" w:lineRule="auto"/>
        <w:jc w:val="both"/>
      </w:pPr>
      <w:r>
        <w:t xml:space="preserve">Por </w:t>
      </w:r>
      <w:r w:rsidR="000D76F2">
        <w:t>último, aclaramos</w:t>
      </w:r>
      <w:r>
        <w:t xml:space="preserve"> que, de conformidad con lo previsto en</w:t>
      </w:r>
      <w:r w:rsidR="000D76F2">
        <w:t xml:space="preserve"> </w:t>
      </w:r>
      <w:r w:rsidR="000D76F2" w:rsidRPr="000D76F2">
        <w:t xml:space="preserve">el Artículo 3 de la Ley 401 de 1997, </w:t>
      </w:r>
      <w:r w:rsidR="000D76F2">
        <w:t xml:space="preserve">y </w:t>
      </w:r>
      <w:r w:rsidR="003C7719">
        <w:t>Resolución</w:t>
      </w:r>
      <w:r w:rsidR="000D76F2">
        <w:t xml:space="preserve"> </w:t>
      </w:r>
      <w:r w:rsidR="003C7719" w:rsidRPr="003C7719">
        <w:t>71</w:t>
      </w:r>
      <w:r w:rsidR="003C7719">
        <w:t xml:space="preserve"> de</w:t>
      </w:r>
      <w:r w:rsidR="003C7719" w:rsidRPr="003C7719">
        <w:t xml:space="preserve"> 1999</w:t>
      </w:r>
      <w:r w:rsidR="003C7719">
        <w:t xml:space="preserve">, </w:t>
      </w:r>
      <w:r w:rsidR="003C7719" w:rsidRPr="003C7719">
        <w:rPr>
          <w:i/>
          <w:iCs/>
        </w:rPr>
        <w:t xml:space="preserve">Por la cual se establece el Reglamento </w:t>
      </w:r>
      <w:r w:rsidR="00DE43E2" w:rsidRPr="003C7719">
        <w:rPr>
          <w:i/>
          <w:iCs/>
        </w:rPr>
        <w:t>Único</w:t>
      </w:r>
      <w:r w:rsidR="003C7719" w:rsidRPr="003C7719">
        <w:rPr>
          <w:i/>
          <w:iCs/>
        </w:rPr>
        <w:t xml:space="preserve"> de Transporte de Gas Natural- (RUT)</w:t>
      </w:r>
      <w:r w:rsidR="003C7719">
        <w:rPr>
          <w:i/>
          <w:iCs/>
        </w:rPr>
        <w:t xml:space="preserve">, </w:t>
      </w:r>
      <w:r w:rsidR="008C4599" w:rsidRPr="008C4599">
        <w:t>es función de la CREG establecer las reglas y condiciones operativas que debe cumplir toda la infraestructura del Sistema Nacional de Transporte a través del Reglamento Único de Transporte de Gas Natural</w:t>
      </w:r>
      <w:r w:rsidR="008C4599">
        <w:t>.</w:t>
      </w:r>
    </w:p>
    <w:p w14:paraId="09FD67C7" w14:textId="77777777" w:rsidR="000D76F2" w:rsidRDefault="000D76F2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8A198D5" w14:textId="3F4F56BD" w:rsidR="00A2023B" w:rsidRDefault="00A2023B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Atentamente</w:t>
      </w:r>
      <w:r w:rsidR="009E509C">
        <w:rPr>
          <w:rFonts w:ascii="Arial" w:hAnsi="Arial" w:cs="Arial"/>
          <w:sz w:val="22"/>
          <w:szCs w:val="22"/>
        </w:rPr>
        <w:t xml:space="preserve">, </w:t>
      </w:r>
    </w:p>
    <w:p w14:paraId="44CF6758" w14:textId="77777777" w:rsidR="00AF1A5F" w:rsidRDefault="00AF1A5F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FA27252" w14:textId="31F0E10D" w:rsidR="00A2023B" w:rsidRPr="00A2023B" w:rsidRDefault="00A2023B" w:rsidP="00340C62">
      <w:pPr>
        <w:widowControl w:val="0"/>
        <w:spacing w:after="0" w:line="24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A2023B">
        <w:rPr>
          <w:rFonts w:ascii="Arial" w:hAnsi="Arial" w:cs="Arial"/>
          <w:b/>
          <w:bCs/>
          <w:i/>
          <w:iCs/>
          <w:sz w:val="22"/>
          <w:szCs w:val="22"/>
        </w:rPr>
        <w:t>Cristian Raúl Gaviria Araque</w:t>
      </w:r>
    </w:p>
    <w:p w14:paraId="7102E00E" w14:textId="6A433FB3" w:rsidR="00A2023B" w:rsidRDefault="00A2023B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Abogado contratista del grupo transporte y demás combustibles de la D.H</w:t>
      </w:r>
    </w:p>
    <w:p w14:paraId="6D70F639" w14:textId="77777777" w:rsidR="00A2023B" w:rsidRDefault="00A2023B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06C743A" w14:textId="77777777" w:rsidR="00A2023B" w:rsidRPr="00AF1A5F" w:rsidRDefault="00A2023B" w:rsidP="00340C62">
      <w:pPr>
        <w:widowControl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69573A2" w14:textId="77777777" w:rsidR="00D378F1" w:rsidRPr="00A2023B" w:rsidRDefault="00D378F1" w:rsidP="00340C62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D378F1" w:rsidRPr="00A2023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0C44D" w14:textId="77777777" w:rsidR="00831D30" w:rsidRDefault="00831D30" w:rsidP="00AF1A5F">
      <w:pPr>
        <w:spacing w:after="0" w:line="240" w:lineRule="auto"/>
      </w:pPr>
      <w:r>
        <w:separator/>
      </w:r>
    </w:p>
  </w:endnote>
  <w:endnote w:type="continuationSeparator" w:id="0">
    <w:p w14:paraId="0965A482" w14:textId="77777777" w:rsidR="00831D30" w:rsidRDefault="00831D30" w:rsidP="00AF1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nux Libertine G">
    <w:altName w:val="Cambria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E86BE" w14:textId="77777777" w:rsidR="00831D30" w:rsidRDefault="00831D30" w:rsidP="00AF1A5F">
      <w:pPr>
        <w:spacing w:after="0" w:line="240" w:lineRule="auto"/>
      </w:pPr>
      <w:r>
        <w:separator/>
      </w:r>
    </w:p>
  </w:footnote>
  <w:footnote w:type="continuationSeparator" w:id="0">
    <w:p w14:paraId="0DC45DDB" w14:textId="77777777" w:rsidR="00831D30" w:rsidRDefault="00831D30" w:rsidP="00AF1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FDA"/>
    <w:multiLevelType w:val="hybridMultilevel"/>
    <w:tmpl w:val="ADF8790E"/>
    <w:lvl w:ilvl="0" w:tplc="CC8CBC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42708"/>
    <w:multiLevelType w:val="hybridMultilevel"/>
    <w:tmpl w:val="20386C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97067"/>
    <w:multiLevelType w:val="hybridMultilevel"/>
    <w:tmpl w:val="B9104B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4236B"/>
    <w:multiLevelType w:val="hybridMultilevel"/>
    <w:tmpl w:val="AEA0BA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66113"/>
    <w:multiLevelType w:val="hybridMultilevel"/>
    <w:tmpl w:val="413E5C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7979F1"/>
    <w:multiLevelType w:val="hybridMultilevel"/>
    <w:tmpl w:val="FA287B14"/>
    <w:lvl w:ilvl="0" w:tplc="2294F7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623018">
    <w:abstractNumId w:val="0"/>
  </w:num>
  <w:num w:numId="2" w16cid:durableId="375590517">
    <w:abstractNumId w:val="3"/>
  </w:num>
  <w:num w:numId="3" w16cid:durableId="1131942344">
    <w:abstractNumId w:val="4"/>
  </w:num>
  <w:num w:numId="4" w16cid:durableId="1633749289">
    <w:abstractNumId w:val="1"/>
  </w:num>
  <w:num w:numId="5" w16cid:durableId="176701389">
    <w:abstractNumId w:val="5"/>
  </w:num>
  <w:num w:numId="6" w16cid:durableId="301230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401"/>
    <w:rsid w:val="00051F4D"/>
    <w:rsid w:val="00065A81"/>
    <w:rsid w:val="000B14B6"/>
    <w:rsid w:val="000C1704"/>
    <w:rsid w:val="000D76F2"/>
    <w:rsid w:val="00176B07"/>
    <w:rsid w:val="001849EB"/>
    <w:rsid w:val="001B16DC"/>
    <w:rsid w:val="001F4A81"/>
    <w:rsid w:val="00272F4D"/>
    <w:rsid w:val="002E5554"/>
    <w:rsid w:val="002F1596"/>
    <w:rsid w:val="00324F91"/>
    <w:rsid w:val="00340C62"/>
    <w:rsid w:val="003812F2"/>
    <w:rsid w:val="003B079F"/>
    <w:rsid w:val="003C7719"/>
    <w:rsid w:val="00465802"/>
    <w:rsid w:val="0046756A"/>
    <w:rsid w:val="004B0D99"/>
    <w:rsid w:val="004F2D15"/>
    <w:rsid w:val="00552D64"/>
    <w:rsid w:val="005E146A"/>
    <w:rsid w:val="005F4E74"/>
    <w:rsid w:val="00624069"/>
    <w:rsid w:val="00665BF4"/>
    <w:rsid w:val="00695B7B"/>
    <w:rsid w:val="007A32D5"/>
    <w:rsid w:val="007C143B"/>
    <w:rsid w:val="00831D30"/>
    <w:rsid w:val="008C1B18"/>
    <w:rsid w:val="008C4599"/>
    <w:rsid w:val="008F66A7"/>
    <w:rsid w:val="00972E59"/>
    <w:rsid w:val="009E509C"/>
    <w:rsid w:val="009F2605"/>
    <w:rsid w:val="00A0060F"/>
    <w:rsid w:val="00A0499F"/>
    <w:rsid w:val="00A2023B"/>
    <w:rsid w:val="00A42950"/>
    <w:rsid w:val="00A56149"/>
    <w:rsid w:val="00A8230B"/>
    <w:rsid w:val="00AA4452"/>
    <w:rsid w:val="00AB1CE7"/>
    <w:rsid w:val="00AF1A5F"/>
    <w:rsid w:val="00B20E72"/>
    <w:rsid w:val="00B35EE8"/>
    <w:rsid w:val="00B401A6"/>
    <w:rsid w:val="00B70401"/>
    <w:rsid w:val="00B966FE"/>
    <w:rsid w:val="00C538BB"/>
    <w:rsid w:val="00CB5AB6"/>
    <w:rsid w:val="00CD2D56"/>
    <w:rsid w:val="00D24A63"/>
    <w:rsid w:val="00D24E44"/>
    <w:rsid w:val="00D378F1"/>
    <w:rsid w:val="00DD6E78"/>
    <w:rsid w:val="00DE43E2"/>
    <w:rsid w:val="00E84B5A"/>
    <w:rsid w:val="00F537AB"/>
    <w:rsid w:val="00FC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BB4A4"/>
  <w15:chartTrackingRefBased/>
  <w15:docId w15:val="{63258CF5-412C-47A9-89C6-C543178FB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401"/>
  </w:style>
  <w:style w:type="paragraph" w:styleId="Ttulo1">
    <w:name w:val="heading 1"/>
    <w:basedOn w:val="Normal"/>
    <w:next w:val="Normal"/>
    <w:link w:val="Ttulo1Car"/>
    <w:uiPriority w:val="9"/>
    <w:qFormat/>
    <w:rsid w:val="00B704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704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704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704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704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704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704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704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704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04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704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704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7040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7040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7040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7040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7040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7040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704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704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704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704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704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70401"/>
    <w:rPr>
      <w:i/>
      <w:iCs/>
      <w:color w:val="404040" w:themeColor="text1" w:themeTint="BF"/>
    </w:rPr>
  </w:style>
  <w:style w:type="paragraph" w:styleId="Prrafodelista">
    <w:name w:val="List Paragraph"/>
    <w:aliases w:val="Bullets,Bullet List,Bulletr List Paragraph,FooterText,List Paragraph1,List Paragraph2,List Paragraph21,Listeafsnit1,Paragraphe de liste1,Parágrafo da Lista1,numbered,列出段落,列出段落1,titulo 3,List Paragraph,Ha,Segundo nivel de viñetas,lp1"/>
    <w:basedOn w:val="Normal"/>
    <w:qFormat/>
    <w:rsid w:val="00B704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7040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704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7040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70401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8F66A7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inux Libertine G" w:hAnsi="Calibri" w:cs="Linux Libertine G"/>
      <w:kern w:val="0"/>
      <w:lang w:eastAsia="zh-CN" w:bidi="hi-IN"/>
      <w14:ligatures w14:val="none"/>
    </w:rPr>
  </w:style>
  <w:style w:type="character" w:styleId="Hipervnculo">
    <w:name w:val="Hyperlink"/>
    <w:basedOn w:val="Fuentedeprrafopredeter"/>
    <w:uiPriority w:val="99"/>
    <w:unhideWhenUsed/>
    <w:rsid w:val="00F537AB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537AB"/>
    <w:rPr>
      <w:color w:val="605E5C"/>
      <w:shd w:val="clear" w:color="auto" w:fill="E1DFDD"/>
    </w:rPr>
  </w:style>
  <w:style w:type="paragraph" w:customStyle="1" w:styleId="Default">
    <w:name w:val="Default"/>
    <w:rsid w:val="004658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F1A5F"/>
    <w:pPr>
      <w:suppressAutoHyphens/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F1A5F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AF1A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776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R. Gaviria Araque</dc:creator>
  <cp:keywords/>
  <dc:description/>
  <cp:lastModifiedBy>Cristian R. Gaviria Araque</cp:lastModifiedBy>
  <cp:revision>3</cp:revision>
  <dcterms:created xsi:type="dcterms:W3CDTF">2026-06-16T21:34:00Z</dcterms:created>
  <dcterms:modified xsi:type="dcterms:W3CDTF">2026-06-16T21:39:00Z</dcterms:modified>
</cp:coreProperties>
</file>